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Informace o využití cookies</w:t>
      </w:r>
    </w:p>
    <w:p>
      <w:pPr/>
      <w:r>
        <w:t>Obchodní společnost Goodbye s.r.o., IČO: 083 19 588, se sídlem Mirošovická 704, 251 64 Mnichovice (dále jen „společnost”), jakožto správce osobních údajů si Vás tímto dovoluje informovat o využití souborů cookies.</w:t>
      </w:r>
    </w:p>
    <w:p>
      <w:pPr/>
      <w:r>
        <w:t>Níže v textu se zejména dozvíte:</w:t>
      </w:r>
    </w:p>
    <w:p>
      <w:pPr>
        <w:pStyle w:val="ListBullet"/>
      </w:pPr>
      <w:r>
        <w:t>Co jsou soubory cookies?</w:t>
      </w:r>
    </w:p>
    <w:p>
      <w:pPr>
        <w:pStyle w:val="ListBullet"/>
      </w:pPr>
      <w:r>
        <w:t xml:space="preserve">Jaké typy cookies jsou používané na webové stránce </w:t>
      </w:r>
      <w:hyperlink r:id="rId9">
        <w:r>
          <w:rPr>
            <w:color w:val="243A58"/>
          </w:rPr>
          <w:t>https://www.goodbye.cz/?</w:t>
        </w:r>
      </w:hyperlink>
      <w:r/>
      <w:r/>
    </w:p>
    <w:p>
      <w:pPr>
        <w:pStyle w:val="ListBullet"/>
      </w:pPr>
      <w:r>
        <w:t>K čemu používáme soubory cookies?</w:t>
      </w:r>
    </w:p>
    <w:p>
      <w:pPr>
        <w:pStyle w:val="ListBullet"/>
      </w:pPr>
      <w:r>
        <w:t>Co dělat, když si nepřejete, aby se cookies ukládaly?</w:t>
      </w:r>
    </w:p>
    <w:p>
      <w:pPr>
        <w:pStyle w:val="Heading1"/>
      </w:pPr>
      <w:r>
        <w:t>Co jsou soubory cookies?</w:t>
      </w:r>
    </w:p>
    <w:p>
      <w:pPr/>
      <w:r>
        <w:t>Cookie je malý textový soubor, který si ukládá Vámi navštívená webová stránka ve Vašem internetovém prohlížeči. Téměř každá webová stránka využívá technologii cookie pro zajištění fungování stránek a optimalizaci vzhledu a funkčnosti. Cookies mimo jiné umožňují provozovateli internetových stránek odlišení Vaší osoby od ostatních návštěvníků a uživatelů jeho webových stránek. Cookies rovněž přispívají k tomu, že Vaše interakce s webovými stránkami jsou bezpečnější a rychlejší, protože cookies si umí zapamatovat Vaše preference (např. přihlašovací údaje a jazyk) tak, že odešlou obsažené informace zpět původní webové stránce (cookies vlastní strany) nebo jiné webové stránce, ke které patří (cookies třetí strany), když se znovu přihlásíte na příslušnou webovou stránku ze stejného koncového zařízení.</w:t>
      </w:r>
    </w:p>
    <w:p>
      <w:pPr/>
      <w:r>
        <w:t>Pro zlepšení uživatelského komfortu návštěvníků a uživatelů našich internetových stránek a pro zajištění dalších úkolů používáme technologii cookies.</w:t>
      </w:r>
    </w:p>
    <w:p>
      <w:pPr>
        <w:pStyle w:val="Heading1"/>
      </w:pPr>
      <w:r>
        <w:t xml:space="preserve">Jaké typy cookies jsou používané na webové stránce </w:t>
      </w:r>
      <w:hyperlink r:id="rId10">
        <w:r>
          <w:rPr>
            <w:color w:val="243A58"/>
          </w:rPr>
          <w:t>https://goodbye.cz/?</w:t>
        </w:r>
      </w:hyperlink>
      <w:r/>
      <w:r/>
    </w:p>
    <w:p>
      <w:pPr/>
      <w:r>
        <w:t>Nezbytně nutné soubory cookies - umožňují Vám pohyb (navigaci) po webové stránce a využívání jejích základních funkcí. Obvykle jsou nastaveny pouze v reakci na Vaši činnost, která je žádostí o službu, jedná se například o zapamatování předchozích činností (např. zadání textu) při přechodu na předchozí stránku v rámci jedné relace. Jedná se o cookies, které jsou nezbytné pro použití webové stránky a nemohou být vypnuty. K dočasnému ukládání těchto nezbytně nutných cookies do koncového zařízení není nutný Váš souhlas.</w:t>
      </w:r>
    </w:p>
    <w:p>
      <w:pPr/>
      <w:r>
        <w:t>Analytické cookies – umožňují provozovateli webové stránky rozpoznat a spočítat počet návštěvníků a získat informace o tom, jak je webová stránka používána (např. jaké stránky uživatel otevírá nejčastěji a jestli uživatel dostává z některých stránek hlášení o chybě). To pomáhá provozovateli webové stránky vylepšit fungování webové stránky, například tak, že zajišťuje, aby uživatelé snadno našli to, co hledají. Tyto cookies se tak využívají za účelem zlepšení pro vylepšení funkčnosti a funkcionality webových stránek. Tyto cookies načítáme pouze s Vaším souhlasem s analytickými cookies.</w:t>
      </w:r>
    </w:p>
    <w:p>
      <w:pPr/>
      <w:r>
        <w:t>Reklamní a cílené cookies – zaznamenávají Vaše návštěvy na webové stránce, stránky, které jste navštívili a odkazy, které jste sledovali. Tyto informace jsou používány zejména k zajištění osobního (resp. personalizovaného) přístupu v oblasti reklamy a marketingu, tedy k tomu, aby Vám byly dodány reklamy, které jsou pro Vás a Vaše zájmy relevantní. Tyto informace jsou rovněž používány za účelem měření efektivity reklamních kampaní. Pro užívání těchto cookies je nutný Váš souhlas. Vaše preference ve vztahu k reklamním a cíleným cookies si můžete kdykoli nastavit tlačítkem „Nastavení cookies“ v zápatí webu nebo v internetovém prohlížeči, jak je popsáno níže.</w:t>
      </w:r>
    </w:p>
    <w:p>
      <w:pPr/>
      <w:r>
        <w:t>Externí obsah – mapy Google, vložená videa a rezervační kalendář Calendly načítáme až po Vašem souhlasu s touto kategorií. Poskytovatelé přitom mohou zpracovávat údaje o připojení a ukládat vlastní cookies. Komentáře Disqus, které mohou zahrnovat reklamu, načítáme až po souhlasu s marketingovou kategorií.</w:t>
      </w:r>
    </w:p>
    <w:p>
      <w:pPr/>
      <w:r>
        <w:t>V následující tabulce uvádíme cookies a obdobná úložiště používaná naším webem a jeho analytickými a reklamními nástroji. U služeb třetích stran jsou uvedeny standardní doby platnosti; skutečnou dobu může zkrátit nastavení prohlížeče nebo poskytovatele.</w:t>
      </w:r>
    </w:p>
    <w:p>
      <w:pPr/>
      <w:r>
        <w:t>Google Tag Manager spravuje načítání analytických nástrojů Google Analytics, Hotjar a Smartlook. Samotný kontejner načítáme až po souhlasu s analytickými cookies. Meta Pixel načítáme samostatně až po souhlasu s marketingovými cookies.</w:t>
      </w:r>
    </w:p>
    <w:p>
      <w:pPr/>
      <w:r>
        <w:t xml:space="preserve">Vložené služby Google Maps (google.com), video služby podle zvoleného videa, Calendly (calendly.com) a Disqus (disqus.com) mohou po povolení příslušné kategorie používat další vlastní cookies a úložiště. Jejich rozsah a doba platnosti závisí také na Vašem přihlášení a nastavení u poskytovatele. Informace poskytovatelů: </w:t>
      </w:r>
      <w:hyperlink r:id="rId11">
        <w:r>
          <w:rPr>
            <w:color w:val="243A58"/>
          </w:rPr>
          <w:t>https://policies.google.com/technologies/cookies</w:t>
        </w:r>
      </w:hyperlink>
      <w:r/>
      <w:r>
        <w:t xml:space="preserve">, </w:t>
      </w:r>
      <w:hyperlink r:id="rId12">
        <w:r>
          <w:rPr>
            <w:color w:val="243A58"/>
          </w:rPr>
          <w:t>https://help.calendly.com/hc/en-us/articles/360060831093-How-to-manage-cookies-for-your-Calendly-embed</w:t>
        </w:r>
      </w:hyperlink>
      <w:r/>
      <w:r>
        <w:t xml:space="preserve"> a </w:t>
      </w:r>
      <w:hyperlink r:id="rId13">
        <w:r>
          <w:rPr>
            <w:color w:val="243A58"/>
          </w:rPr>
          <w:t>https://help.disqus.com/en/articles/1717103-disqus-cookies</w:t>
        </w:r>
      </w:hyperlink>
      <w:r>
        <w:t>.</w:t>
      </w:r>
      <w:r/>
    </w:p>
    <w:p>
      <w:pPr/>
      <w:r>
        <w:t xml:space="preserve">Podrobnosti o analytických nástrojích: </w:t>
      </w:r>
      <w:hyperlink r:id="rId14">
        <w:r>
          <w:rPr>
            <w:color w:val="243A58"/>
          </w:rPr>
          <w:t>https://support.google.com/analytics/answer/11397207</w:t>
        </w:r>
      </w:hyperlink>
      <w:r/>
      <w:r>
        <w:t xml:space="preserve">, </w:t>
      </w:r>
      <w:hyperlink r:id="rId15">
        <w:r>
          <w:rPr>
            <w:color w:val="243A58"/>
          </w:rPr>
          <w:t>https://help.hotjar.com/</w:t>
        </w:r>
      </w:hyperlink>
      <w:r/>
      <w:r>
        <w:t xml:space="preserve"> a </w:t>
      </w:r>
      <w:hyperlink r:id="rId16">
        <w:r>
          <w:rPr>
            <w:color w:val="243A58"/>
          </w:rPr>
          <w:t>https://help.smartlook.com/docs/cookies-smartlook</w:t>
        </w:r>
      </w:hyperlink>
      <w:r>
        <w:t>.</w:t>
      </w:r>
      <w:r>
        <w:t xml:space="preserve"> Informace o Meta cookies: </w:t>
      </w:r>
      <w:hyperlink r:id="rId17">
        <w:r>
          <w:rPr>
            <w:color w:val="243A58"/>
          </w:rPr>
          <w:t>https://www.facebook.com/privacy/policies/cookies/</w:t>
        </w:r>
      </w:hyperlink>
      <w:r>
        <w:t>.</w:t>
      </w:r>
      <w:r>
        <w:t xml:space="preserve"> Ostatní informace o zpracování osobních údajů: </w:t>
      </w:r>
      <w:hyperlink r:id="rId18">
        <w:r>
          <w:rPr>
            <w:color w:val="243A58"/>
          </w:rPr>
          <w:t>https://goodbye.cz/ochrana-osobnich-udaju/</w:t>
        </w:r>
      </w:hyperlink>
      <w:r>
        <w:t>.</w:t>
      </w:r>
      <w:r/>
    </w:p>
    <w:tbl>
      <w:tblPr>
        <w:tblW w:type="auto" w:w="0"/>
        <w:jc w:val="center"/>
        <w:tblLayout w:type="fixed"/>
        <w:tblLook w:firstColumn="1" w:firstRow="1" w:lastColumn="0" w:lastRow="0" w:noHBand="0" w:noVBand="1" w:val="04A0"/>
      </w:tblPr>
      <w:tblGrid>
        <w:gridCol w:w="2041"/>
        <w:gridCol w:w="1757"/>
        <w:gridCol w:w="3742"/>
        <w:gridCol w:w="2098"/>
      </w:tblGrid>
      <w:tr>
        <w:trPr>
          <w:cantSplit/>
          <w:tblHeader/>
        </w:trPr>
        <w:tc>
          <w:tcPr>
            <w:tcW w:type="dxa" w:w="2041"/>
            <w:vAlign w:val="center"/>
            <w:tcBorders>
              <w:top w:val="single" w:sz="4" w:color="D9D9D9"/>
              <w:left w:val="single" w:sz="4" w:color="D9D9D9"/>
              <w:bottom w:val="single" w:sz="4" w:color="D9D9D9"/>
              <w:right w:val="single" w:sz="4" w:color="D9D9D9"/>
            </w:tcBorders>
            <w:shd w:fill="243A58"/>
          </w:tcPr>
          <w:p>
            <w:pPr>
              <w:spacing w:after="100" w:before="100"/>
            </w:pPr>
            <w:r>
              <w:rPr>
                <w:b/>
                <w:color w:val="FFFFFF"/>
                <w:sz w:val="18"/>
              </w:rPr>
              <w:t>Název / technologie</w:t>
            </w:r>
          </w:p>
        </w:tc>
        <w:tc>
          <w:tcPr>
            <w:tcW w:type="dxa" w:w="1757"/>
            <w:vAlign w:val="center"/>
            <w:tcBorders>
              <w:top w:val="single" w:sz="4" w:color="D9D9D9"/>
              <w:left w:val="single" w:sz="4" w:color="D9D9D9"/>
              <w:bottom w:val="single" w:sz="4" w:color="D9D9D9"/>
              <w:right w:val="single" w:sz="4" w:color="D9D9D9"/>
            </w:tcBorders>
            <w:shd w:fill="243A58"/>
          </w:tcPr>
          <w:p>
            <w:pPr>
              <w:spacing w:after="100" w:before="100"/>
            </w:pPr>
            <w:r>
              <w:rPr>
                <w:b/>
                <w:color w:val="FFFFFF"/>
                <w:sz w:val="18"/>
              </w:rPr>
              <w:t>Doména / poskytovatel</w:t>
            </w:r>
          </w:p>
        </w:tc>
        <w:tc>
          <w:tcPr>
            <w:tcW w:type="dxa" w:w="3742"/>
            <w:vAlign w:val="center"/>
            <w:tcBorders>
              <w:top w:val="single" w:sz="4" w:color="D9D9D9"/>
              <w:left w:val="single" w:sz="4" w:color="D9D9D9"/>
              <w:bottom w:val="single" w:sz="4" w:color="D9D9D9"/>
              <w:right w:val="single" w:sz="4" w:color="D9D9D9"/>
            </w:tcBorders>
            <w:shd w:fill="243A58"/>
          </w:tcPr>
          <w:p>
            <w:pPr>
              <w:spacing w:after="100" w:before="100"/>
            </w:pPr>
            <w:r>
              <w:rPr>
                <w:b/>
                <w:color w:val="FFFFFF"/>
                <w:sz w:val="18"/>
              </w:rPr>
              <w:t>Účel a kategorie</w:t>
            </w:r>
          </w:p>
        </w:tc>
        <w:tc>
          <w:tcPr>
            <w:tcW w:type="dxa" w:w="2098"/>
            <w:vAlign w:val="center"/>
            <w:tcBorders>
              <w:top w:val="single" w:sz="4" w:color="D9D9D9"/>
              <w:left w:val="single" w:sz="4" w:color="D9D9D9"/>
              <w:bottom w:val="single" w:sz="4" w:color="D9D9D9"/>
              <w:right w:val="single" w:sz="4" w:color="D9D9D9"/>
            </w:tcBorders>
            <w:shd w:fill="243A58"/>
          </w:tcPr>
          <w:p>
            <w:pPr>
              <w:spacing w:after="100" w:before="100"/>
            </w:pPr>
            <w:r>
              <w:rPr>
                <w:b/>
                <w:color w:val="FFFFFF"/>
                <w:sz w:val="18"/>
              </w:rPr>
              <w:t>Doba uložení</w:t>
            </w:r>
          </w:p>
        </w:tc>
      </w:tr>
      <w:tr>
        <w:trPr>
          <w:cantSplit/>
        </w:trPr>
        <w:tc>
          <w:tcPr>
            <w:tcW w:type="dxa" w:w="2041"/>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goodbye_cookie_consent (localStorage)</w:t>
            </w:r>
          </w:p>
        </w:tc>
        <w:tc>
          <w:tcPr>
            <w:tcW w:type="dxa" w:w="1757"/>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goodbye.cz / Goodbye s.r.o.</w:t>
            </w:r>
          </w:p>
        </w:tc>
        <w:tc>
          <w:tcPr>
            <w:tcW w:type="dxa" w:w="374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Nezbytné: uložení souhlasu, odmítnutí a nastavení kategorií.</w:t>
            </w:r>
          </w:p>
        </w:tc>
        <w:tc>
          <w:tcPr>
            <w:tcW w:type="dxa" w:w="209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180 dní; poté se znovu zeptáme.</w:t>
            </w:r>
          </w:p>
        </w:tc>
      </w:tr>
      <w:tr>
        <w:trPr>
          <w:cantSplit/>
        </w:trPr>
        <w:tc>
          <w:tcPr>
            <w:tcW w:type="dxa" w:w="2041"/>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loginSess</w:t>
            </w:r>
          </w:p>
        </w:tc>
        <w:tc>
          <w:tcPr>
            <w:tcW w:type="dxa" w:w="1757"/>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goodbye.cz / Goodbye s.r.o.</w:t>
            </w:r>
          </w:p>
        </w:tc>
        <w:tc>
          <w:tcPr>
            <w:tcW w:type="dxa" w:w="3742"/>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Nezbytné: přihlášení a přístup k objednávce.</w:t>
            </w:r>
          </w:p>
        </w:tc>
        <w:tc>
          <w:tcPr>
            <w:tcW w:type="dxa" w:w="2098"/>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Do konce relace prohlížeče.</w:t>
            </w:r>
          </w:p>
        </w:tc>
      </w:tr>
      <w:tr>
        <w:trPr>
          <w:cantSplit/>
        </w:trPr>
        <w:tc>
          <w:tcPr>
            <w:tcW w:type="dxa" w:w="2041"/>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session_id</w:t>
            </w:r>
          </w:p>
        </w:tc>
        <w:tc>
          <w:tcPr>
            <w:tcW w:type="dxa" w:w="1757"/>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goodbye.cz / Goodbye s.r.o.</w:t>
            </w:r>
          </w:p>
        </w:tc>
        <w:tc>
          <w:tcPr>
            <w:tcW w:type="dxa" w:w="374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Nezbytné: vytvoření a úprava online parte.</w:t>
            </w:r>
          </w:p>
        </w:tc>
        <w:tc>
          <w:tcPr>
            <w:tcW w:type="dxa" w:w="209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Do konce relace prohlížeče.</w:t>
            </w:r>
          </w:p>
        </w:tc>
      </w:tr>
      <w:tr>
        <w:trPr>
          <w:cantSplit/>
        </w:trPr>
        <w:tc>
          <w:tcPr>
            <w:tcW w:type="dxa" w:w="2041"/>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sidebar_state</w:t>
            </w:r>
          </w:p>
        </w:tc>
        <w:tc>
          <w:tcPr>
            <w:tcW w:type="dxa" w:w="1757"/>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goodbye.cz / Goodbye s.r.o.</w:t>
            </w:r>
          </w:p>
        </w:tc>
        <w:tc>
          <w:tcPr>
            <w:tcW w:type="dxa" w:w="3742"/>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Nezbytné: stav navigace v administraci.</w:t>
            </w:r>
          </w:p>
        </w:tc>
        <w:tc>
          <w:tcPr>
            <w:tcW w:type="dxa" w:w="2098"/>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7 dní.</w:t>
            </w:r>
          </w:p>
        </w:tc>
      </w:tr>
      <w:tr>
        <w:trPr>
          <w:cantSplit/>
        </w:trPr>
        <w:tc>
          <w:tcPr>
            <w:tcW w:type="dxa" w:w="2041"/>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pohrbyPopup, zavetiPopup</w:t>
            </w:r>
          </w:p>
        </w:tc>
        <w:tc>
          <w:tcPr>
            <w:tcW w:type="dxa" w:w="1757"/>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goodbye.cz / Goodbye s.r.o.</w:t>
            </w:r>
          </w:p>
        </w:tc>
        <w:tc>
          <w:tcPr>
            <w:tcW w:type="dxa" w:w="374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Marketingové: zapamatování zobrazení propagační nabídky.</w:t>
            </w:r>
          </w:p>
        </w:tc>
        <w:tc>
          <w:tcPr>
            <w:tcW w:type="dxa" w:w="209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Do konce relace prohlížeče.</w:t>
            </w:r>
          </w:p>
        </w:tc>
      </w:tr>
      <w:tr>
        <w:trPr>
          <w:cantSplit/>
        </w:trPr>
        <w:tc>
          <w:tcPr>
            <w:tcW w:type="dxa" w:w="2041"/>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_ga, _ga_*</w:t>
            </w:r>
          </w:p>
        </w:tc>
        <w:tc>
          <w:tcPr>
            <w:tcW w:type="dxa" w:w="1757"/>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goodbye.cz / Google Analytics</w:t>
            </w:r>
          </w:p>
        </w:tc>
        <w:tc>
          <w:tcPr>
            <w:tcW w:type="dxa" w:w="3742"/>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Analytické: rozlišení návštěvníků a měření návštěvnosti.</w:t>
            </w:r>
          </w:p>
        </w:tc>
        <w:tc>
          <w:tcPr>
            <w:tcW w:type="dxa" w:w="2098"/>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Standardně až 2 roky; prohlížeč může dobu zkrátit.</w:t>
            </w:r>
          </w:p>
        </w:tc>
      </w:tr>
      <w:tr>
        <w:trPr>
          <w:cantSplit/>
        </w:trPr>
        <w:tc>
          <w:tcPr>
            <w:tcW w:type="dxa" w:w="2041"/>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_hjSessionUser_3469965, _hjSession_3469965</w:t>
            </w:r>
          </w:p>
        </w:tc>
        <w:tc>
          <w:tcPr>
            <w:tcW w:type="dxa" w:w="1757"/>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goodbye.cz / Hotjar</w:t>
            </w:r>
          </w:p>
        </w:tc>
        <w:tc>
          <w:tcPr>
            <w:tcW w:type="dxa" w:w="374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Analytické: rozlišení návštěvníků, analýza používání webu a relací.</w:t>
            </w:r>
          </w:p>
        </w:tc>
        <w:tc>
          <w:tcPr>
            <w:tcW w:type="dxa" w:w="209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Standardně 365 dní, resp. 30 minut.</w:t>
            </w:r>
          </w:p>
        </w:tc>
      </w:tr>
      <w:tr>
        <w:trPr>
          <w:cantSplit/>
        </w:trPr>
        <w:tc>
          <w:tcPr>
            <w:tcW w:type="dxa" w:w="2041"/>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SL_C_*_SID, SL_L_*_SID (localStorage)</w:t>
            </w:r>
          </w:p>
        </w:tc>
        <w:tc>
          <w:tcPr>
            <w:tcW w:type="dxa" w:w="1757"/>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goodbye.cz / Smartlook</w:t>
            </w:r>
          </w:p>
        </w:tc>
        <w:tc>
          <w:tcPr>
            <w:tcW w:type="dxa" w:w="3742"/>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Analytické: identifikace návštěvníka a relace při analýze používání webu.</w:t>
            </w:r>
          </w:p>
        </w:tc>
        <w:tc>
          <w:tcPr>
            <w:tcW w:type="dxa" w:w="2098"/>
            <w:vAlign w:val="center"/>
            <w:tcBorders>
              <w:top w:val="single" w:sz="4" w:color="D9D9D9"/>
              <w:left w:val="single" w:sz="4" w:color="D9D9D9"/>
              <w:bottom w:val="single" w:sz="4" w:color="D9D9D9"/>
              <w:right w:val="single" w:sz="4" w:color="D9D9D9"/>
            </w:tcBorders>
            <w:shd w:fill="F2F4F7"/>
          </w:tcPr>
          <w:p>
            <w:pPr>
              <w:spacing w:after="100" w:before="100"/>
            </w:pPr>
            <w:r>
              <w:rPr>
                <w:b w:val="0"/>
                <w:color w:val="000000"/>
                <w:sz w:val="18"/>
              </w:rPr>
              <w:t>Standardně 13 měsíců. Dočasné SL_C_*_DOMAIN se mažou po zjištění domény.</w:t>
            </w:r>
          </w:p>
        </w:tc>
      </w:tr>
      <w:tr>
        <w:trPr>
          <w:cantSplit/>
        </w:trPr>
        <w:tc>
          <w:tcPr>
            <w:tcW w:type="dxa" w:w="2041"/>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_fbp, _fbc</w:t>
            </w:r>
          </w:p>
        </w:tc>
        <w:tc>
          <w:tcPr>
            <w:tcW w:type="dxa" w:w="1757"/>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goodbye.cz / Meta Platforms</w:t>
            </w:r>
          </w:p>
        </w:tc>
        <w:tc>
          <w:tcPr>
            <w:tcW w:type="dxa" w:w="374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Marketingové: měření reklamních kampaní; _fbc jen při příchodu z reklamy.</w:t>
            </w:r>
          </w:p>
        </w:tc>
        <w:tc>
          <w:tcPr>
            <w:tcW w:type="dxa" w:w="209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18"/>
              </w:rPr>
              <w:t>Standardně až 90 dní.</w:t>
            </w:r>
          </w:p>
        </w:tc>
      </w:tr>
    </w:tbl>
    <w:p/>
    <w:p>
      <w:pPr>
        <w:pStyle w:val="Heading1"/>
      </w:pPr>
      <w:r>
        <w:t>K čemu používáme soubory cookies?</w:t>
      </w:r>
    </w:p>
    <w:p>
      <w:pPr/>
      <w:r>
        <w:t xml:space="preserve">Soubory cookies využíváme za účelem zkvalitnění poskytování služeb, zejména k usnadnění využívání našich webových stránek prostřednictvím Vašeho PC (nebo jiného zařízení s přístupem na internet, jako je např. smartphone nebo tablet) během návštěvy webové stránky </w:t>
      </w:r>
      <w:hyperlink r:id="rId19">
        <w:r>
          <w:rPr>
            <w:color w:val="243A58"/>
          </w:rPr>
          <w:t>https://goodbye.cz/</w:t>
        </w:r>
      </w:hyperlink>
      <w:r>
        <w:t>.</w:t>
      </w:r>
      <w:r>
        <w:t xml:space="preserve"> Soubory cookies slouží především k tomu, abychom umožnili urychlení Vaší příští návštěvy a zpříjemnili používání naší webové stránky. Soubory cookies dále užíváme pro analýzu návštěvnosti webu.</w:t>
      </w:r>
    </w:p>
    <w:p>
      <w:pPr>
        <w:pStyle w:val="Heading1"/>
      </w:pPr>
      <w:r>
        <w:t>Co dělat, když si nepřejete, aby se cookies ukládaly?</w:t>
      </w:r>
    </w:p>
    <w:p>
      <w:pPr/>
      <w:r>
        <w:t>Bez Vašeho předchozího souhlasu nenačítáme volitelné analytické a marketingové nástroje ani externí obsah. Nezbytné cookies slouží k fungování Vámi vyžádaných služeb. V úvodní liště můžete zvolit „Odmítnout volitelné“, „Přijmout vše“ nebo „Nastavit preference“. Souhlas můžete kdykoliv odvolat či změnit tlačítkem „Nastavení cookies“ v zápatí webu. Změna se uloží na 180 dní. Při odvolání souhlasu se stránka znovu načte, aby se zastavily již spuštěné nástroje; dostupné cookies příslušné kategorie z našeho webu odstraníme. Cookies poskytovatelů na jiných doménách můžete odstranit v nastavení svého prohlížeče.</w:t>
      </w:r>
    </w:p>
    <w:p>
      <w:pPr/>
      <w:r>
        <w:t>Odmítnutí volitelných cookies nebrání objednání našich služeb ani přístupu k informacím na webu. Externí obsah se zobrazí až po povolení příslušné kategorie. Pokud v prohlížeči zablokujete i nezbytné cookies, nemusí fungovat přihlášení nebo úprava online parte.</w:t>
      </w:r>
    </w:p>
    <w:p>
      <w:pPr>
        <w:pStyle w:val="Heading1"/>
      </w:pPr>
      <w:r>
        <w:t>Kontakt</w:t>
      </w:r>
    </w:p>
    <w:p>
      <w:pPr/>
      <w:r>
        <w:t xml:space="preserve">V případě jakýchkoliv otázek týkajících se cookies nás prosím kontaktujte na adrese: </w:t>
      </w:r>
      <w:hyperlink r:id="rId20">
        <w:r>
          <w:rPr>
            <w:color w:val="243A58"/>
          </w:rPr>
          <w:t>podpora@goodbye.cz</w:t>
        </w:r>
      </w:hyperlink>
      <w:r/>
    </w:p>
    <w:p>
      <w:pPr/>
      <w:r>
        <w:t>Tento informační dokument o využití cookies je účinný ode dne 16.10.2026</w:t>
      </w:r>
    </w:p>
    <w:p>
      <w:pPr/>
      <w:r>
        <w:t>za společnost Goodbye s.r.o. — Ing. Jiří Haman, jednatel</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69"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69" w:lineRule="auto"/>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odbye.cz/?" TargetMode="External"/><Relationship Id="rId10" Type="http://schemas.openxmlformats.org/officeDocument/2006/relationships/hyperlink" Target="https://goodbye.cz/?" TargetMode="External"/><Relationship Id="rId11" Type="http://schemas.openxmlformats.org/officeDocument/2006/relationships/hyperlink" Target="https://policies.google.com/technologies/cookies" TargetMode="External"/><Relationship Id="rId12" Type="http://schemas.openxmlformats.org/officeDocument/2006/relationships/hyperlink" Target="https://help.calendly.com/hc/en-us/articles/360060831093-How-to-manage-cookies-for-your-Calendly-embed" TargetMode="External"/><Relationship Id="rId13" Type="http://schemas.openxmlformats.org/officeDocument/2006/relationships/hyperlink" Target="https://help.disqus.com/en/articles/1717103-disqus-cookies" TargetMode="External"/><Relationship Id="rId14" Type="http://schemas.openxmlformats.org/officeDocument/2006/relationships/hyperlink" Target="https://support.google.com/analytics/answer/11397207" TargetMode="External"/><Relationship Id="rId15" Type="http://schemas.openxmlformats.org/officeDocument/2006/relationships/hyperlink" Target="https://help.hotjar.com/" TargetMode="External"/><Relationship Id="rId16" Type="http://schemas.openxmlformats.org/officeDocument/2006/relationships/hyperlink" Target="https://help.smartlook.com/docs/cookies-smartlook" TargetMode="External"/><Relationship Id="rId17" Type="http://schemas.openxmlformats.org/officeDocument/2006/relationships/hyperlink" Target="https://www.facebook.com/privacy/policies/cookies/" TargetMode="External"/><Relationship Id="rId18" Type="http://schemas.openxmlformats.org/officeDocument/2006/relationships/hyperlink" Target="https://goodbye.cz/ochrana-osobnich-udaju/" TargetMode="External"/><Relationship Id="rId19" Type="http://schemas.openxmlformats.org/officeDocument/2006/relationships/hyperlink" Target="https://goodbye.cz/" TargetMode="External"/><Relationship Id="rId20" Type="http://schemas.openxmlformats.org/officeDocument/2006/relationships/hyperlink" Target="mailto:podpora@goodby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Informace o využití cookies</dc:title>
  <dc:subject/>
  <dc:creator>Goodbye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